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6F29A4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AF168E">
        <w:rPr>
          <w:i/>
        </w:rPr>
        <w:t>30</w:t>
      </w:r>
      <w:r w:rsidRPr="004522E4">
        <w:rPr>
          <w:i/>
        </w:rPr>
        <w:t>"</w:t>
      </w:r>
      <w:r w:rsidR="00A83D73">
        <w:rPr>
          <w:i/>
        </w:rPr>
        <w:t xml:space="preserve"> </w:t>
      </w:r>
      <w:r w:rsidR="008D095E">
        <w:rPr>
          <w:i/>
        </w:rPr>
        <w:t>октября</w:t>
      </w:r>
      <w:r w:rsidRPr="004522E4">
        <w:rPr>
          <w:i/>
        </w:rPr>
        <w:t xml:space="preserve"> 2025 г. № Закуп-</w:t>
      </w:r>
      <w:r w:rsidR="008D095E">
        <w:rPr>
          <w:i/>
        </w:rPr>
        <w:t>6</w:t>
      </w:r>
      <w:r w:rsidR="00AF168E">
        <w:rPr>
          <w:i/>
        </w:rPr>
        <w:t>864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AF168E" w:rsidRPr="00C4193C" w:rsidRDefault="00AF168E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30.10.2025г.)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46C8E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8A34D5" w:rsidRPr="00F24489" w:rsidRDefault="008A34D5" w:rsidP="008A34D5">
            <w:pPr>
              <w:pStyle w:val="12"/>
              <w:tabs>
                <w:tab w:val="left" w:pos="426"/>
              </w:tabs>
              <w:jc w:val="both"/>
              <w:rPr>
                <w:szCs w:val="24"/>
              </w:rPr>
            </w:pPr>
            <w:r w:rsidRPr="00F24489">
              <w:rPr>
                <w:szCs w:val="24"/>
              </w:rPr>
              <w:t>Поставка серверного оборудования для АО «Саханефтегазсбыт» в 2026 г.</w:t>
            </w:r>
          </w:p>
          <w:p w:rsidR="008A34D5" w:rsidRPr="00F24489" w:rsidRDefault="008A34D5" w:rsidP="008A34D5">
            <w:pPr>
              <w:pStyle w:val="12"/>
              <w:jc w:val="both"/>
              <w:rPr>
                <w:szCs w:val="24"/>
              </w:rPr>
            </w:pPr>
          </w:p>
          <w:p w:rsidR="008A34D5" w:rsidRPr="00F24489" w:rsidRDefault="008A34D5" w:rsidP="008A34D5">
            <w:pPr>
              <w:pStyle w:val="12"/>
              <w:rPr>
                <w:lang w:val="en-US"/>
              </w:rPr>
            </w:pPr>
            <w:r w:rsidRPr="00F24489">
              <w:rPr>
                <w:rFonts w:eastAsia="Calibri"/>
                <w:b/>
                <w:szCs w:val="24"/>
                <w:lang w:eastAsia="en-US"/>
              </w:rPr>
              <w:t>Закупка осуществляется по Лоту</w:t>
            </w:r>
            <w:r w:rsidRPr="00F24489">
              <w:rPr>
                <w:b/>
                <w:lang w:val="en-US"/>
              </w:rPr>
              <w:t xml:space="preserve"> № 1</w:t>
            </w:r>
            <w:r w:rsidRPr="00F24489">
              <w:rPr>
                <w:lang w:val="en-US"/>
              </w:rPr>
              <w:t xml:space="preserve"> </w:t>
            </w:r>
          </w:p>
          <w:tbl>
            <w:tblPr>
              <w:tblStyle w:val="aa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1522"/>
              <w:gridCol w:w="3544"/>
              <w:gridCol w:w="4454"/>
              <w:gridCol w:w="1134"/>
              <w:gridCol w:w="1984"/>
            </w:tblGrid>
            <w:tr w:rsidR="00946C8E" w:rsidRPr="00F31E1B" w:rsidTr="00946C8E">
              <w:tc>
                <w:tcPr>
                  <w:tcW w:w="458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522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Наименование показателя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 xml:space="preserve">Содержание (значение) </w:t>
                  </w:r>
                </w:p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показателя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198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 xml:space="preserve">НМЦД без НДС </w:t>
                  </w:r>
                </w:p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(</w:t>
                  </w:r>
                  <w:proofErr w:type="spellStart"/>
                  <w:r w:rsidRPr="00F31E1B">
                    <w:rPr>
                      <w:b/>
                      <w:sz w:val="16"/>
                      <w:szCs w:val="16"/>
                    </w:rPr>
                    <w:t>руб</w:t>
                  </w:r>
                  <w:proofErr w:type="spellEnd"/>
                  <w:r w:rsidRPr="00F31E1B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946C8E" w:rsidRPr="00F31E1B" w:rsidTr="00946C8E">
              <w:tc>
                <w:tcPr>
                  <w:tcW w:w="458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2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Телевизор QLED TCL 50" 50P7K</w:t>
                  </w: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---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---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56 077,78</w:t>
                  </w:r>
                </w:p>
              </w:tc>
            </w:tr>
            <w:tr w:rsidR="00946C8E" w:rsidRPr="00F31E1B" w:rsidTr="00946C8E">
              <w:tc>
                <w:tcPr>
                  <w:tcW w:w="458" w:type="dxa"/>
                  <w:vMerge w:val="restart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31E1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2" w:type="dxa"/>
                  <w:vMerge w:val="restart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Сервер</w:t>
                  </w:r>
                  <w:r w:rsidRPr="00F31E1B">
                    <w:rPr>
                      <w:sz w:val="16"/>
                      <w:szCs w:val="16"/>
                      <w:lang w:val="en-US"/>
                    </w:rPr>
                    <w:t xml:space="preserve"> PowerEdge R760 Trusted Platform Module 2.0 V6</w:t>
                  </w: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Конфигурац</w:t>
                  </w:r>
                  <w:bookmarkStart w:id="0" w:name="_GoBack"/>
                  <w:bookmarkEnd w:id="0"/>
                  <w:r w:rsidRPr="00F31E1B">
                    <w:rPr>
                      <w:sz w:val="16"/>
                      <w:szCs w:val="16"/>
                    </w:rPr>
                    <w:t>ия корпуса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2.5" Chassis with up to 24 SAS/SATA Drives, Front PERC 12, 2 CPU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 w:val="restart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3 696 980,95</w:t>
                  </w: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Процессор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Intel® Xeon® Gold 6542Y 2.9G, 24C/48T, 20GT/s, 60M Cache, Turbo, HT (250W) DDR5-5200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Дополнительный процессор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Intel® Xeon® Gold 6542Y 2.9G, 24C/48T, 20GT/s, 60M Cache, Turbo, HT (250W) DDR5-5200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Тепловая конфигурация процессора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Heatsink for 2 CPU configuration (CPU greater than 165W)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Тип и скорость модулей памяти DIMM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5600MT/s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RDIMMs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Объем памяти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64GB RDIMM, 5600MT/s, Dual Rank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  <w:lang w:val="en-US"/>
                    </w:rPr>
                    <w:t>4</w:t>
                  </w:r>
                  <w:r w:rsidRPr="00F31E1B">
                    <w:rPr>
                      <w:sz w:val="16"/>
                      <w:szCs w:val="16"/>
                    </w:rPr>
                    <w:t xml:space="preserve">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Конфигурация RAID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C7,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Unconfigured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RAID for HDDs or SSDs (Mixed Drive Types Allowed)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Контроллеры RAID/внутренних накопителей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Front PERC H965i Rear Load (for 2.5" x24 SAS/SATA chassis)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Жесткие диски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3.84TB SSD SAS Read Intensive 24Gbps 512e 2.5in Hot-Plug, AG Drive 1DWPD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  <w:lang w:val="en-US"/>
                    </w:rPr>
                    <w:t>4</w:t>
                  </w:r>
                  <w:r w:rsidRPr="00F31E1B">
                    <w:rPr>
                      <w:sz w:val="16"/>
                      <w:szCs w:val="16"/>
                    </w:rPr>
                    <w:t xml:space="preserve">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Жесткие диски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1.92TB SSD SATA Read Intensive 6Gbps 512e 2.5in Hot-plug AG Drive, 1 DWPD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  <w:lang w:val="en-US"/>
                    </w:rPr>
                    <w:t>12</w:t>
                  </w:r>
                  <w:r w:rsidRPr="00F31E1B">
                    <w:rPr>
                      <w:sz w:val="16"/>
                      <w:szCs w:val="16"/>
                    </w:rPr>
                    <w:t xml:space="preserve">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Расширенные настройки системы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UEFI BIOS Boot Mode with GPT Partition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Вентиляторы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High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Performance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Fan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 x6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Блок питания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Dual, Hot-Plug, FR Power Supply, 1100W MM (100-240Vac) Titanium, Redundant (1+1)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Шнуры питания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Jumper Cord - C13/C14, 0,6M, 250V, 10A (US,EUR)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  <w:lang w:val="en-US"/>
                    </w:rPr>
                    <w:t>2</w:t>
                  </w:r>
                  <w:r w:rsidRPr="00F31E1B">
                    <w:rPr>
                      <w:sz w:val="16"/>
                      <w:szCs w:val="16"/>
                    </w:rPr>
                    <w:t xml:space="preserve">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F31E1B">
                    <w:rPr>
                      <w:sz w:val="16"/>
                      <w:szCs w:val="16"/>
                    </w:rPr>
                    <w:t>PCIe</w:t>
                  </w:r>
                  <w:proofErr w:type="spellEnd"/>
                  <w:r w:rsidRPr="00F31E1B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1E1B">
                    <w:rPr>
                      <w:sz w:val="16"/>
                      <w:szCs w:val="16"/>
                    </w:rPr>
                    <w:t>Riser</w:t>
                  </w:r>
                  <w:proofErr w:type="spellEnd"/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Riser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Config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1, 6x8 FH Slots (Gen4), 2x16 LP Slots (Gen4)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Материнская плата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Motherboard supports ALL CPUs (required for CPUs 250W and above), MLK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Сетевые адаптеры OCP 3.0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Broadcom 5720 Quad Port 1GbE BASE-T Adapter, OCP NIC 3.0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Дополнительные сетевые карты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Broadcom 5720 Dual Port 1GbE LOM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Карты памяти, оптимизированные для загрузки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BOSS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Blank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Встроенное управление системами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iDRAC9,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Enterprise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 16G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Встроенное управление системами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Dell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Connectivity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Client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Enabled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Пароль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Force Change Password iDRAC9 x4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Направляющие стойки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>ReadyRails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Sliding Rails With Cable Management Arm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Аксессуары для сервера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  <w:lang w:val="en-US"/>
                    </w:rPr>
                  </w:pP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Fan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1E1B">
                    <w:rPr>
                      <w:color w:val="000000"/>
                      <w:sz w:val="16"/>
                      <w:szCs w:val="16"/>
                    </w:rPr>
                    <w:t>Foam</w:t>
                  </w:r>
                  <w:proofErr w:type="spellEnd"/>
                  <w:r w:rsidRPr="00F31E1B">
                    <w:rPr>
                      <w:color w:val="000000"/>
                      <w:sz w:val="16"/>
                      <w:szCs w:val="16"/>
                    </w:rPr>
                    <w:t>, HDD 2U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F31E1B">
                    <w:rPr>
                      <w:sz w:val="16"/>
                      <w:szCs w:val="16"/>
                    </w:rPr>
                    <w:t>1 шт.</w:t>
                  </w: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Система мониторинга за сервером «</w:t>
                  </w:r>
                  <w:proofErr w:type="spellStart"/>
                  <w:r w:rsidRPr="00F31E1B">
                    <w:rPr>
                      <w:sz w:val="16"/>
                      <w:szCs w:val="16"/>
                    </w:rPr>
                    <w:t>EnginePro</w:t>
                  </w:r>
                  <w:proofErr w:type="spellEnd"/>
                  <w:r w:rsidRPr="00F31E1B">
                    <w:rPr>
                      <w:sz w:val="16"/>
                      <w:szCs w:val="16"/>
                    </w:rPr>
                    <w:t xml:space="preserve"> Мониторинг» (далее ПО)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 xml:space="preserve">Наличие 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Доступ к функциональным возможностям должен быть реализован по средствам подключения к веб-странице ПО с помощью веб-браузера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>Наличие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 xml:space="preserve">Мониторинг параметров функционирования при помощи агентов </w:t>
                  </w:r>
                  <w:proofErr w:type="spellStart"/>
                  <w:r w:rsidRPr="00F31E1B">
                    <w:rPr>
                      <w:sz w:val="16"/>
                      <w:szCs w:val="16"/>
                    </w:rPr>
                    <w:t>Windows</w:t>
                  </w:r>
                  <w:proofErr w:type="spellEnd"/>
                  <w:r w:rsidRPr="00F31E1B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F31E1B">
                    <w:rPr>
                      <w:sz w:val="16"/>
                      <w:szCs w:val="16"/>
                    </w:rPr>
                    <w:t>Linux</w:t>
                  </w:r>
                  <w:proofErr w:type="spellEnd"/>
                  <w:r w:rsidRPr="00F31E1B">
                    <w:rPr>
                      <w:sz w:val="16"/>
                      <w:szCs w:val="16"/>
                    </w:rPr>
                    <w:t>, UNIX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>Наличие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Функционал внесения/изменения исходных данных должен быть реализован в виде взаимосвязанных веб-страниц последовательного (пошагового) ввода данных с возможностью сохранения введенной на веб-странице информации при переходе на другую.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Переход на следующую веб-страницу должен быть доступен только в том случае, если заполнены все обязательные поля на предыдущей веб-странице. При попытке перехода на недоступную веб-страницу должен быть предусмотрен вывод сообщения о недостающей для перехода информации.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>Наличие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 xml:space="preserve">Функционал внесения/изменения исходных данных должен быть реализован в виде взаимосвязанных веб-страниц последовательного (пошагового) ввода данных </w:t>
                  </w:r>
                  <w:r w:rsidRPr="00F31E1B">
                    <w:rPr>
                      <w:sz w:val="16"/>
                      <w:szCs w:val="16"/>
                    </w:rPr>
                    <w:lastRenderedPageBreak/>
                    <w:t>с возможностью сохранения введенной на веб-странице информации при переходе на другую.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Переход на следующую веб-страницу должен быть доступен только в том случае, если заполнены все обязательные поля на предыдущей веб-странице. При попытке перехода на недоступную веб-страницу должен быть предусмотрен вывод сообщения о недостающей для перехода информации.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На каждой веб-странице должны быть предусмотрены краткие справочные комментарии, которые позволяют облегчить процесс ввода данных.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На каждой веб-странице должна быть предусмотрена возможность сохранения введенных данных.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На каждой веб-странице должны быть предусмотрены информационные справки, которые помогут пользователю внести правильную информацию в поля.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Должен обеспечиваться выбор документов, которые имеются в организации. В зависимости от обрабатываемой информации заполняются поля выбора типов информационных систем.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Функционал добавления собственных полей в форму ввода исходных данных. Типы новых полей могут быть: текст, табличная информация, изображения. Внесенные новые поля можно применять для документов при генерировании.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lastRenderedPageBreak/>
                    <w:t>Наличие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ПО должно иметь функционал для интеграции со сторонним ПО для сбора информации с инфраструктуры Заказчика.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Сбор информации должен предусматривать описание технического процесса и информации об инфраструктуре Заказчика.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На основе собранной информации заполняются сведения об инфраструктуре Заказчика в ПО с целью поддержании актуального состояния документации и используемых технологий.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>Наличие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ПО должно предусматривать возможность внесения изменений в исходных данных с целью сохранения утвержденных организацией дат принятия документа.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Должно быть предусмотрено отображение общей информации о готовности сгенерированного документа посредством активности поля скачивания.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Должна быть предусмотрена выгрузка актуальных версий документов, как конкретного документа (в формате *.</w:t>
                  </w:r>
                  <w:proofErr w:type="spellStart"/>
                  <w:r w:rsidRPr="00F31E1B">
                    <w:rPr>
                      <w:sz w:val="16"/>
                      <w:szCs w:val="16"/>
                    </w:rPr>
                    <w:t>docx</w:t>
                  </w:r>
                  <w:proofErr w:type="spellEnd"/>
                  <w:r w:rsidRPr="00F31E1B">
                    <w:rPr>
                      <w:sz w:val="16"/>
                      <w:szCs w:val="16"/>
                    </w:rPr>
                    <w:t>, *.</w:t>
                  </w:r>
                  <w:proofErr w:type="spellStart"/>
                  <w:r w:rsidRPr="00F31E1B">
                    <w:rPr>
                      <w:sz w:val="16"/>
                      <w:szCs w:val="16"/>
                    </w:rPr>
                    <w:t>pdf</w:t>
                  </w:r>
                  <w:proofErr w:type="spellEnd"/>
                  <w:r w:rsidRPr="00F31E1B">
                    <w:rPr>
                      <w:sz w:val="16"/>
                      <w:szCs w:val="16"/>
                    </w:rPr>
                    <w:t>), так и всех документов одним архивом (в формате *.</w:t>
                  </w:r>
                  <w:proofErr w:type="spellStart"/>
                  <w:r w:rsidRPr="00F31E1B">
                    <w:rPr>
                      <w:sz w:val="16"/>
                      <w:szCs w:val="16"/>
                    </w:rPr>
                    <w:t>zip</w:t>
                  </w:r>
                  <w:proofErr w:type="spellEnd"/>
                  <w:r w:rsidRPr="00F31E1B">
                    <w:rPr>
                      <w:sz w:val="16"/>
                      <w:szCs w:val="16"/>
                    </w:rPr>
                    <w:t>).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 xml:space="preserve">Исполнителем должно быть предусмотрено автоматическое изменение состава пакета </w:t>
                  </w:r>
                  <w:r w:rsidRPr="00F31E1B">
                    <w:rPr>
                      <w:sz w:val="16"/>
                      <w:szCs w:val="16"/>
                    </w:rPr>
                    <w:lastRenderedPageBreak/>
                    <w:t xml:space="preserve">документов в ходе эксплуатации ПО, в целях приведения в соответствие с новыми требованиями законодательства РФ с сохранением утвержденных версий документов. </w:t>
                  </w:r>
                </w:p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ПО должно иметь функционал изменения шрифта в генерируемых документах и импорт в ПО шрифта, которое в ПО не предусмотрено.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lastRenderedPageBreak/>
                    <w:t>Наличие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Должна быть предусмотрена возможность изменения пользователем параметров профиля.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>Наличие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458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522" w:type="dxa"/>
                  <w:vMerge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44" w:type="dxa"/>
                </w:tcPr>
                <w:p w:rsidR="00946C8E" w:rsidRPr="00F31E1B" w:rsidRDefault="00946C8E" w:rsidP="00946C8E">
                  <w:pPr>
                    <w:pStyle w:val="ad"/>
                    <w:rPr>
                      <w:sz w:val="16"/>
                      <w:szCs w:val="16"/>
                    </w:rPr>
                  </w:pPr>
                  <w:r w:rsidRPr="00F31E1B">
                    <w:rPr>
                      <w:sz w:val="16"/>
                      <w:szCs w:val="16"/>
                    </w:rPr>
                    <w:t>ПО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ЭВМ.</w:t>
                  </w:r>
                </w:p>
              </w:tc>
              <w:tc>
                <w:tcPr>
                  <w:tcW w:w="4454" w:type="dxa"/>
                </w:tcPr>
                <w:p w:rsidR="00946C8E" w:rsidRPr="00F31E1B" w:rsidRDefault="00946C8E" w:rsidP="00946C8E">
                  <w:pPr>
                    <w:pStyle w:val="ad"/>
                    <w:rPr>
                      <w:color w:val="000000"/>
                      <w:sz w:val="16"/>
                      <w:szCs w:val="16"/>
                    </w:rPr>
                  </w:pPr>
                  <w:r w:rsidRPr="00F31E1B">
                    <w:rPr>
                      <w:color w:val="000000"/>
                      <w:sz w:val="16"/>
                      <w:szCs w:val="16"/>
                    </w:rPr>
                    <w:t>Наличие</w:t>
                  </w:r>
                </w:p>
              </w:tc>
              <w:tc>
                <w:tcPr>
                  <w:tcW w:w="1134" w:type="dxa"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946C8E" w:rsidRPr="00F31E1B" w:rsidRDefault="00946C8E" w:rsidP="00946C8E">
                  <w:pPr>
                    <w:pStyle w:val="ad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46C8E" w:rsidRPr="00F31E1B" w:rsidTr="00946C8E">
              <w:tc>
                <w:tcPr>
                  <w:tcW w:w="11112" w:type="dxa"/>
                  <w:gridSpan w:val="5"/>
                </w:tcPr>
                <w:p w:rsidR="00946C8E" w:rsidRPr="005C3D90" w:rsidRDefault="00946C8E" w:rsidP="00946C8E">
                  <w:pPr>
                    <w:pStyle w:val="ad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C3D90">
                    <w:rPr>
                      <w:b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1984" w:type="dxa"/>
                </w:tcPr>
                <w:p w:rsidR="00946C8E" w:rsidRPr="005C3D90" w:rsidRDefault="00946C8E" w:rsidP="00946C8E">
                  <w:pPr>
                    <w:pStyle w:val="ad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C3D90">
                    <w:rPr>
                      <w:b/>
                      <w:sz w:val="16"/>
                      <w:szCs w:val="16"/>
                    </w:rPr>
                    <w:t>3 753 058,73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FE7ECC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 xml:space="preserve">и </w:t>
            </w:r>
            <w:r w:rsidR="00FE7ECC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3183" w:type="dxa"/>
            <w:shd w:val="clear" w:color="auto" w:fill="auto"/>
          </w:tcPr>
          <w:p w:rsidR="00A83D73" w:rsidRPr="00583620" w:rsidRDefault="00FE7ECC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E7ECC">
              <w:rPr>
                <w:sz w:val="24"/>
                <w:szCs w:val="24"/>
              </w:rPr>
              <w:t>В период с 15 января 2026 г по 01 марта 2026 г., без возможности досрочной поставки.</w:t>
            </w:r>
          </w:p>
        </w:tc>
      </w:tr>
      <w:tr w:rsidR="00FE7ECC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FE7ECC" w:rsidRPr="00A83D73" w:rsidRDefault="00FE7ECC" w:rsidP="00FE7ECC">
            <w:pPr>
              <w:rPr>
                <w:b/>
                <w:sz w:val="24"/>
                <w:szCs w:val="24"/>
              </w:rPr>
            </w:pPr>
            <w:r w:rsidRPr="00FE7ECC"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3183" w:type="dxa"/>
            <w:shd w:val="clear" w:color="auto" w:fill="auto"/>
          </w:tcPr>
          <w:p w:rsidR="00FE7ECC" w:rsidRPr="00FE7ECC" w:rsidRDefault="00283B3D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E7ECC" w:rsidRPr="00FE7ECC">
              <w:rPr>
                <w:sz w:val="24"/>
                <w:szCs w:val="24"/>
              </w:rPr>
              <w:t>клад Заказчика, расположенный по адресу: 677000, Российская Федерация, Республика Саха (Якутия), г. Якутск, ул. Чиряева, д.3,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6B51EA" w:rsidRPr="006B51EA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ЗП5102700</w:t>
            </w:r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112E39">
              <w:rPr>
                <w:b/>
                <w:sz w:val="24"/>
                <w:szCs w:val="24"/>
              </w:rPr>
              <w:t xml:space="preserve">№ </w:t>
            </w:r>
            <w:r w:rsidR="00630E2F">
              <w:rPr>
                <w:b/>
                <w:sz w:val="24"/>
                <w:szCs w:val="24"/>
              </w:rPr>
              <w:t>75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4784F">
                    <w:rPr>
                      <w:b/>
                      <w:color w:val="000000"/>
                      <w:sz w:val="24"/>
                      <w:szCs w:val="24"/>
                    </w:rPr>
                    <w:t>28</w:t>
                  </w:r>
                  <w:r w:rsidR="00A333B6" w:rsidRPr="00112E39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A4784F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AF168E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A4784F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 подачи Заявок, дата начала, дата и время окончания </w:t>
            </w:r>
            <w:r w:rsidRPr="00A83D73">
              <w:rPr>
                <w:b/>
                <w:bCs/>
                <w:sz w:val="22"/>
              </w:rPr>
              <w:lastRenderedPageBreak/>
              <w:t>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lastRenderedPageBreak/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A4784F">
              <w:rPr>
                <w:b/>
              </w:rPr>
              <w:t>28</w:t>
            </w:r>
            <w:r w:rsidR="00A12C3B">
              <w:rPr>
                <w:b/>
              </w:rPr>
              <w:t>.10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AF168E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lastRenderedPageBreak/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A4784F">
              <w:rPr>
                <w:b/>
                <w:sz w:val="24"/>
                <w:szCs w:val="24"/>
              </w:rPr>
              <w:t>0</w:t>
            </w:r>
            <w:r w:rsidR="00AF168E">
              <w:rPr>
                <w:b/>
                <w:sz w:val="24"/>
                <w:szCs w:val="24"/>
              </w:rPr>
              <w:t>6</w:t>
            </w:r>
            <w:r w:rsidR="00A4784F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lastRenderedPageBreak/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AF168E">
              <w:rPr>
                <w:b/>
                <w:sz w:val="24"/>
                <w:szCs w:val="24"/>
              </w:rPr>
              <w:t>07</w:t>
            </w:r>
            <w:r w:rsidR="00A4784F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4E3BC3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AF168E">
              <w:rPr>
                <w:b/>
              </w:rPr>
              <w:t>10</w:t>
            </w:r>
            <w:r w:rsidR="00A4784F">
              <w:rPr>
                <w:b/>
              </w:rPr>
              <w:t>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FE7ECC" w:rsidRDefault="00FE7ECC" w:rsidP="008553E7">
            <w:pPr>
              <w:pStyle w:val="Default"/>
              <w:jc w:val="both"/>
              <w:rPr>
                <w:b/>
              </w:rPr>
            </w:pPr>
            <w:r w:rsidRPr="00FE7ECC">
              <w:rPr>
                <w:b/>
              </w:rPr>
              <w:lastRenderedPageBreak/>
              <w:t>Установлено ограничение.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3D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30E2F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B51EA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34D5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095E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46C8E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4784F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168E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E7ECC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36F0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8A34D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C4D5-BFE2-4571-9C82-0D945248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3</cp:revision>
  <cp:lastPrinted>2021-12-09T02:35:00Z</cp:lastPrinted>
  <dcterms:created xsi:type="dcterms:W3CDTF">2025-10-30T05:54:00Z</dcterms:created>
  <dcterms:modified xsi:type="dcterms:W3CDTF">2025-10-30T05:56:00Z</dcterms:modified>
</cp:coreProperties>
</file>